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Look w:val="04A0" w:firstRow="1" w:lastRow="0" w:firstColumn="1" w:lastColumn="0" w:noHBand="0" w:noVBand="1"/>
      </w:tblPr>
      <w:tblGrid>
        <w:gridCol w:w="3020"/>
        <w:gridCol w:w="3212"/>
        <w:gridCol w:w="2830"/>
      </w:tblGrid>
      <w:tr w:rsidR="00D12B7C" w14:paraId="24CB33A3" w14:textId="77777777" w:rsidTr="000A786D">
        <w:tc>
          <w:tcPr>
            <w:tcW w:w="3020" w:type="dxa"/>
          </w:tcPr>
          <w:p w14:paraId="5D28E191" w14:textId="77777777" w:rsidR="00D12B7C" w:rsidRDefault="00D12B7C" w:rsidP="000A786D">
            <w:r>
              <w:rPr>
                <w:noProof/>
              </w:rPr>
              <w:drawing>
                <wp:anchor distT="0" distB="0" distL="114300" distR="114300" simplePos="0" relativeHeight="251662336" behindDoc="0" locked="0" layoutInCell="1" allowOverlap="1" wp14:anchorId="6ED3608C" wp14:editId="3E2BD2BF">
                  <wp:simplePos x="0" y="0"/>
                  <wp:positionH relativeFrom="column">
                    <wp:posOffset>0</wp:posOffset>
                  </wp:positionH>
                  <wp:positionV relativeFrom="paragraph">
                    <wp:posOffset>17780</wp:posOffset>
                  </wp:positionV>
                  <wp:extent cx="1609725" cy="507475"/>
                  <wp:effectExtent l="0" t="0" r="0" b="6985"/>
                  <wp:wrapNone/>
                  <wp:docPr id="1" name="Bilde 1"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utklipp&#10;&#10;Automatisk generert beskrivels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9725" cy="507475"/>
                          </a:xfrm>
                          <a:prstGeom prst="rect">
                            <a:avLst/>
                          </a:prstGeom>
                        </pic:spPr>
                      </pic:pic>
                    </a:graphicData>
                  </a:graphic>
                </wp:anchor>
              </w:drawing>
            </w:r>
          </w:p>
        </w:tc>
        <w:tc>
          <w:tcPr>
            <w:tcW w:w="3212" w:type="dxa"/>
          </w:tcPr>
          <w:p w14:paraId="04624D2C" w14:textId="77777777" w:rsidR="00D12B7C" w:rsidRDefault="00D12B7C" w:rsidP="000A786D">
            <w:pPr>
              <w:jc w:val="center"/>
              <w:rPr>
                <w:sz w:val="48"/>
                <w:szCs w:val="48"/>
              </w:rPr>
            </w:pPr>
            <w:r w:rsidRPr="009A5E11">
              <w:rPr>
                <w:sz w:val="48"/>
                <w:szCs w:val="48"/>
              </w:rPr>
              <w:t>FDV</w:t>
            </w:r>
          </w:p>
          <w:p w14:paraId="4A374E20" w14:textId="77777777" w:rsidR="00D12B7C" w:rsidRPr="009A5E11" w:rsidRDefault="00D12B7C" w:rsidP="000A786D">
            <w:pPr>
              <w:jc w:val="center"/>
            </w:pPr>
            <w:r>
              <w:t>Forvaltning, Drift, Vedlikehold</w:t>
            </w:r>
          </w:p>
        </w:tc>
        <w:tc>
          <w:tcPr>
            <w:tcW w:w="2830" w:type="dxa"/>
          </w:tcPr>
          <w:p w14:paraId="174A409C" w14:textId="77777777" w:rsidR="00BE25CE" w:rsidRDefault="00BE25CE" w:rsidP="00BE25CE">
            <w:pPr>
              <w:jc w:val="center"/>
            </w:pPr>
          </w:p>
          <w:p w14:paraId="5C49C76B" w14:textId="717F6662" w:rsidR="00D12B7C" w:rsidRDefault="00D12B7C" w:rsidP="00BE25CE">
            <w:pPr>
              <w:jc w:val="center"/>
            </w:pPr>
            <w:r>
              <w:t xml:space="preserve">Revidert </w:t>
            </w:r>
            <w:r w:rsidR="004605BB">
              <w:t>04.12.2025</w:t>
            </w:r>
          </w:p>
          <w:p w14:paraId="15742C11" w14:textId="77777777" w:rsidR="00D12B7C" w:rsidRDefault="00D12B7C" w:rsidP="000A786D"/>
        </w:tc>
      </w:tr>
      <w:tr w:rsidR="00D12B7C" w14:paraId="719B6BB1" w14:textId="77777777" w:rsidTr="000A786D">
        <w:tc>
          <w:tcPr>
            <w:tcW w:w="9062" w:type="dxa"/>
            <w:gridSpan w:val="3"/>
          </w:tcPr>
          <w:p w14:paraId="2288B52E" w14:textId="32A1ACCE" w:rsidR="00D12B7C" w:rsidRPr="007671CE" w:rsidRDefault="00D12B7C" w:rsidP="000A786D">
            <w:pPr>
              <w:jc w:val="center"/>
              <w:rPr>
                <w:b/>
                <w:bCs/>
                <w:sz w:val="32"/>
                <w:szCs w:val="32"/>
              </w:rPr>
            </w:pPr>
            <w:r w:rsidRPr="008A604F">
              <w:rPr>
                <w:b/>
                <w:bCs/>
                <w:color w:val="9A2626"/>
                <w:sz w:val="32"/>
                <w:szCs w:val="32"/>
              </w:rPr>
              <w:t>RØROS</w:t>
            </w:r>
            <w:r w:rsidR="007E2BC1">
              <w:rPr>
                <w:b/>
                <w:bCs/>
                <w:color w:val="9A2626"/>
                <w:sz w:val="32"/>
                <w:szCs w:val="32"/>
              </w:rPr>
              <w:t xml:space="preserve">KITT </w:t>
            </w:r>
          </w:p>
        </w:tc>
      </w:tr>
    </w:tbl>
    <w:p w14:paraId="727F582A" w14:textId="77777777" w:rsidR="00D12B7C" w:rsidRDefault="00D12B7C" w:rsidP="00D12B7C"/>
    <w:tbl>
      <w:tblPr>
        <w:tblStyle w:val="Tabellrutenett"/>
        <w:tblW w:w="0" w:type="auto"/>
        <w:tblLook w:val="04A0" w:firstRow="1" w:lastRow="0" w:firstColumn="1" w:lastColumn="0" w:noHBand="0" w:noVBand="1"/>
      </w:tblPr>
      <w:tblGrid>
        <w:gridCol w:w="2405"/>
        <w:gridCol w:w="6657"/>
      </w:tblGrid>
      <w:tr w:rsidR="00D12B7C" w14:paraId="791180A0" w14:textId="77777777" w:rsidTr="000A786D">
        <w:tc>
          <w:tcPr>
            <w:tcW w:w="2405" w:type="dxa"/>
          </w:tcPr>
          <w:p w14:paraId="1A662EA2" w14:textId="77777777" w:rsidR="00D12B7C" w:rsidRPr="008A3DE8" w:rsidRDefault="00D12B7C" w:rsidP="000A786D">
            <w:pPr>
              <w:rPr>
                <w:b/>
                <w:bCs/>
              </w:rPr>
            </w:pPr>
            <w:r w:rsidRPr="008A3DE8">
              <w:rPr>
                <w:b/>
                <w:bCs/>
              </w:rPr>
              <w:t>NOBB modulnummer</w:t>
            </w:r>
          </w:p>
        </w:tc>
        <w:tc>
          <w:tcPr>
            <w:tcW w:w="6657" w:type="dxa"/>
          </w:tcPr>
          <w:p w14:paraId="1F5E2080" w14:textId="5FB9691C" w:rsidR="00D12B7C" w:rsidRDefault="00D12B7C" w:rsidP="000A786D"/>
        </w:tc>
      </w:tr>
    </w:tbl>
    <w:p w14:paraId="2F8067D2" w14:textId="77777777" w:rsidR="00D12B7C" w:rsidRDefault="00D12B7C" w:rsidP="00D12B7C"/>
    <w:tbl>
      <w:tblPr>
        <w:tblStyle w:val="Tabellrutenett"/>
        <w:tblW w:w="0" w:type="auto"/>
        <w:tblLook w:val="04A0" w:firstRow="1" w:lastRow="0" w:firstColumn="1" w:lastColumn="0" w:noHBand="0" w:noVBand="1"/>
      </w:tblPr>
      <w:tblGrid>
        <w:gridCol w:w="2405"/>
        <w:gridCol w:w="6657"/>
      </w:tblGrid>
      <w:tr w:rsidR="00D12B7C" w14:paraId="7EC071D4" w14:textId="77777777" w:rsidTr="000A786D">
        <w:tc>
          <w:tcPr>
            <w:tcW w:w="9062" w:type="dxa"/>
            <w:gridSpan w:val="2"/>
          </w:tcPr>
          <w:p w14:paraId="6C1BBA21" w14:textId="77777777" w:rsidR="00D12B7C" w:rsidRDefault="00D12B7C" w:rsidP="000A786D">
            <w:r w:rsidRPr="006C7DC0">
              <w:rPr>
                <w:b/>
                <w:bCs/>
              </w:rPr>
              <w:t>TEKNISK INFO:</w:t>
            </w:r>
          </w:p>
        </w:tc>
      </w:tr>
      <w:tr w:rsidR="00D12B7C" w:rsidRPr="00A83EB9" w14:paraId="45713DB2" w14:textId="77777777" w:rsidTr="000A786D">
        <w:tc>
          <w:tcPr>
            <w:tcW w:w="2405" w:type="dxa"/>
          </w:tcPr>
          <w:p w14:paraId="37DBDD4F" w14:textId="77777777" w:rsidR="00D12B7C" w:rsidRDefault="00D12B7C" w:rsidP="000A786D">
            <w:r>
              <w:t>Karmbredde:</w:t>
            </w:r>
          </w:p>
          <w:p w14:paraId="08C5ECF4" w14:textId="1B5A1179" w:rsidR="00D12B7C" w:rsidRDefault="00D12B7C" w:rsidP="000A786D">
            <w:r>
              <w:t>Karm/Ramme:</w:t>
            </w:r>
          </w:p>
          <w:p w14:paraId="1A181E1A" w14:textId="77777777" w:rsidR="00D36B9B" w:rsidRDefault="00D36B9B" w:rsidP="000A786D"/>
          <w:p w14:paraId="183E02F9" w14:textId="6D97E2CB" w:rsidR="00D36B9B" w:rsidRDefault="00D36B9B" w:rsidP="000A786D">
            <w:proofErr w:type="spellStart"/>
            <w:r>
              <w:t>Låsside</w:t>
            </w:r>
            <w:proofErr w:type="spellEnd"/>
            <w:r>
              <w:t>:</w:t>
            </w:r>
          </w:p>
          <w:p w14:paraId="3781454A" w14:textId="0F55E752" w:rsidR="00D36B9B" w:rsidRDefault="00D36B9B" w:rsidP="000A786D">
            <w:r>
              <w:t>Hengsleside:</w:t>
            </w:r>
          </w:p>
          <w:p w14:paraId="7EF3B2FF" w14:textId="532EB302" w:rsidR="00D36B9B" w:rsidRDefault="00D36B9B" w:rsidP="000A786D">
            <w:r>
              <w:t>Topp:</w:t>
            </w:r>
          </w:p>
          <w:p w14:paraId="7DD9DAD9" w14:textId="3EC439A8" w:rsidR="00D36B9B" w:rsidRDefault="00D36B9B" w:rsidP="000A786D">
            <w:r>
              <w:t>Bunn:</w:t>
            </w:r>
          </w:p>
          <w:p w14:paraId="27A8493C" w14:textId="31114DF2" w:rsidR="00D12B7C" w:rsidRPr="001D46C2" w:rsidRDefault="009E54C6" w:rsidP="000A786D">
            <w:r>
              <w:t>He</w:t>
            </w:r>
            <w:r w:rsidR="00D12B7C" w:rsidRPr="001D46C2">
              <w:t>ngsler:</w:t>
            </w:r>
          </w:p>
          <w:p w14:paraId="213A0162" w14:textId="77777777" w:rsidR="00D36B9B" w:rsidRDefault="00D12B7C" w:rsidP="000A786D">
            <w:r w:rsidRPr="001D46C2">
              <w:t>Vrider:</w:t>
            </w:r>
          </w:p>
          <w:p w14:paraId="3033B702" w14:textId="77777777" w:rsidR="00D36B9B" w:rsidRDefault="00D36B9B" w:rsidP="000A786D">
            <w:r>
              <w:t>Post/Losholt:</w:t>
            </w:r>
            <w:r w:rsidR="00D12B7C" w:rsidRPr="001D46C2">
              <w:t xml:space="preserve">    </w:t>
            </w:r>
          </w:p>
          <w:p w14:paraId="53A940F6" w14:textId="661C8B7D" w:rsidR="00D12B7C" w:rsidRDefault="00D36B9B" w:rsidP="000A786D">
            <w:r>
              <w:t>Glass:</w:t>
            </w:r>
            <w:r w:rsidR="00D12B7C" w:rsidRPr="001D46C2">
              <w:t xml:space="preserve">          </w:t>
            </w:r>
          </w:p>
          <w:p w14:paraId="7020196B" w14:textId="444A0D00" w:rsidR="00D36B9B" w:rsidRDefault="00D36B9B" w:rsidP="000A786D">
            <w:r>
              <w:t>Kitt:</w:t>
            </w:r>
          </w:p>
          <w:p w14:paraId="7FD6F773" w14:textId="77777777" w:rsidR="002B1FE7" w:rsidRDefault="002B1FE7" w:rsidP="00D36B9B"/>
          <w:p w14:paraId="6C14FE8F" w14:textId="22E9D682" w:rsidR="00D36B9B" w:rsidRDefault="00D36B9B" w:rsidP="00D36B9B">
            <w:proofErr w:type="spellStart"/>
            <w:r w:rsidRPr="001D46C2">
              <w:t>Spross</w:t>
            </w:r>
            <w:proofErr w:type="spellEnd"/>
            <w:r w:rsidRPr="001D46C2">
              <w:t>:</w:t>
            </w:r>
          </w:p>
          <w:p w14:paraId="0D0BF907" w14:textId="77777777" w:rsidR="007E2BC1" w:rsidRDefault="007E2BC1" w:rsidP="00D36B9B"/>
          <w:p w14:paraId="561A70A1" w14:textId="12B6E215" w:rsidR="00D36B9B" w:rsidRPr="001D46C2" w:rsidRDefault="00D36B9B" w:rsidP="00D36B9B">
            <w:r>
              <w:t>Stormkrok:</w:t>
            </w:r>
          </w:p>
          <w:p w14:paraId="1F2E05E5" w14:textId="77777777" w:rsidR="00D12B7C" w:rsidRPr="001D46C2" w:rsidRDefault="00D12B7C" w:rsidP="000A786D">
            <w:proofErr w:type="spellStart"/>
            <w:r w:rsidRPr="001D46C2">
              <w:t>Spacer</w:t>
            </w:r>
            <w:proofErr w:type="spellEnd"/>
            <w:r w:rsidRPr="001D46C2">
              <w:t>:</w:t>
            </w:r>
          </w:p>
          <w:p w14:paraId="43A4E494" w14:textId="77777777" w:rsidR="00D12B7C" w:rsidRPr="001D46C2" w:rsidRDefault="00D12B7C" w:rsidP="000A786D">
            <w:r w:rsidRPr="001D46C2">
              <w:t>Glasslist:</w:t>
            </w:r>
          </w:p>
          <w:p w14:paraId="27E1D90F" w14:textId="77777777" w:rsidR="00D12B7C" w:rsidRPr="001D46C2" w:rsidRDefault="00D12B7C" w:rsidP="000A786D">
            <w:r w:rsidRPr="001D46C2">
              <w:t>Tettelist:</w:t>
            </w:r>
          </w:p>
          <w:p w14:paraId="277F34AF" w14:textId="0F895F2D" w:rsidR="00D12B7C" w:rsidRDefault="00D12B7C" w:rsidP="000A786D"/>
          <w:p w14:paraId="5614E521" w14:textId="77777777" w:rsidR="00D12B7C" w:rsidRPr="00B46D7C" w:rsidRDefault="00D12B7C" w:rsidP="000A786D">
            <w:pPr>
              <w:rPr>
                <w:b/>
                <w:bCs/>
              </w:rPr>
            </w:pPr>
            <w:r w:rsidRPr="00B46D7C">
              <w:rPr>
                <w:b/>
                <w:bCs/>
              </w:rPr>
              <w:t>Overflatebehandling:</w:t>
            </w:r>
          </w:p>
          <w:p w14:paraId="7AA70EBB" w14:textId="77777777" w:rsidR="00D12B7C" w:rsidRDefault="00D12B7C" w:rsidP="000A786D">
            <w:r>
              <w:t>Impregnering:</w:t>
            </w:r>
          </w:p>
          <w:p w14:paraId="75ED23C7" w14:textId="77777777" w:rsidR="00D12B7C" w:rsidRDefault="00D12B7C" w:rsidP="000A786D">
            <w:r>
              <w:t>Maling:</w:t>
            </w:r>
          </w:p>
          <w:p w14:paraId="25826F46" w14:textId="77777777" w:rsidR="00D12B7C" w:rsidRDefault="00D12B7C" w:rsidP="000A786D">
            <w:r>
              <w:t>Farge:</w:t>
            </w:r>
          </w:p>
          <w:p w14:paraId="17F38C26" w14:textId="77777777" w:rsidR="00D12B7C" w:rsidRDefault="00D12B7C" w:rsidP="000A786D"/>
        </w:tc>
        <w:tc>
          <w:tcPr>
            <w:tcW w:w="6657" w:type="dxa"/>
          </w:tcPr>
          <w:p w14:paraId="75545EB9" w14:textId="77777777" w:rsidR="00D12B7C" w:rsidRDefault="00D12B7C" w:rsidP="000A786D">
            <w:r>
              <w:t>117mm</w:t>
            </w:r>
          </w:p>
          <w:p w14:paraId="40C2E601" w14:textId="319E1B27" w:rsidR="00D12B7C" w:rsidRDefault="00D12B7C" w:rsidP="000A786D">
            <w:r>
              <w:t>Fingerskjøtt furu uten kvist</w:t>
            </w:r>
            <w:r w:rsidR="00D36B9B">
              <w:t>. Rammebredde 50</w:t>
            </w:r>
            <w:r w:rsidR="00A83EB9">
              <w:t>mm, inkl.</w:t>
            </w:r>
            <w:r w:rsidR="00D36B9B">
              <w:t xml:space="preserve"> kittfals</w:t>
            </w:r>
          </w:p>
          <w:p w14:paraId="20B41A3A" w14:textId="77777777" w:rsidR="002B1FE7" w:rsidRDefault="002B1FE7" w:rsidP="000A786D"/>
          <w:p w14:paraId="06A7595D" w14:textId="4D8FCCE4" w:rsidR="00D36B9B" w:rsidRDefault="00D36B9B" w:rsidP="000A786D">
            <w:r>
              <w:t>4mm</w:t>
            </w:r>
            <w:r w:rsidR="004356AF">
              <w:t xml:space="preserve"> klaring</w:t>
            </w:r>
          </w:p>
          <w:p w14:paraId="171DFC59" w14:textId="294FD3E2" w:rsidR="00D36B9B" w:rsidRDefault="00D36B9B" w:rsidP="000A786D">
            <w:r>
              <w:t>2mm</w:t>
            </w:r>
            <w:r w:rsidR="004356AF">
              <w:t xml:space="preserve"> klaring</w:t>
            </w:r>
            <w:r w:rsidR="002B1FE7">
              <w:t>, 4mm på sidesving.</w:t>
            </w:r>
          </w:p>
          <w:p w14:paraId="2073C204" w14:textId="767D6BC0" w:rsidR="00D36B9B" w:rsidRDefault="00D36B9B" w:rsidP="000A786D">
            <w:r>
              <w:t>1,5mm</w:t>
            </w:r>
            <w:r w:rsidR="004356AF">
              <w:t xml:space="preserve"> klaring</w:t>
            </w:r>
            <w:r w:rsidR="002B1FE7">
              <w:t>, 4mm på sidesving.</w:t>
            </w:r>
          </w:p>
          <w:p w14:paraId="1C38B2C9" w14:textId="2CDCEB6C" w:rsidR="00D36B9B" w:rsidRDefault="00D36B9B" w:rsidP="000A786D">
            <w:r>
              <w:t>7,7mm</w:t>
            </w:r>
            <w:r w:rsidR="004356AF">
              <w:t xml:space="preserve"> klaring</w:t>
            </w:r>
            <w:r w:rsidR="002B1FE7">
              <w:t>, 19mm på sidesving.</w:t>
            </w:r>
          </w:p>
          <w:p w14:paraId="4F4D5BFB" w14:textId="65CE8AD2" w:rsidR="00A83EB9" w:rsidRPr="00BD7967" w:rsidRDefault="00D12B7C" w:rsidP="000A786D">
            <w:r>
              <w:t xml:space="preserve">El-forsinkede </w:t>
            </w:r>
            <w:r w:rsidR="00D36B9B">
              <w:t>blank m</w:t>
            </w:r>
            <w:r>
              <w:t>ed pynteknopp</w:t>
            </w:r>
            <w:r w:rsidR="007E2BC1">
              <w:t xml:space="preserve"> eller </w:t>
            </w:r>
            <w:proofErr w:type="spellStart"/>
            <w:r w:rsidR="007E2BC1">
              <w:t>Spilka</w:t>
            </w:r>
            <w:proofErr w:type="spellEnd"/>
            <w:r w:rsidR="007E2BC1">
              <w:t xml:space="preserve"> sidesving.</w:t>
            </w:r>
          </w:p>
          <w:p w14:paraId="2B864B19" w14:textId="4953C4F3" w:rsidR="00D12B7C" w:rsidRDefault="00D36B9B" w:rsidP="000A786D">
            <w:r>
              <w:t xml:space="preserve">Blank vrider </w:t>
            </w:r>
            <w:proofErr w:type="spellStart"/>
            <w:r>
              <w:t>nr</w:t>
            </w:r>
            <w:proofErr w:type="spellEnd"/>
            <w:r>
              <w:t xml:space="preserve"> 7</w:t>
            </w:r>
          </w:p>
          <w:p w14:paraId="2DB76888" w14:textId="3A4D0506" w:rsidR="00D36B9B" w:rsidRDefault="00D36B9B" w:rsidP="000A786D">
            <w:r>
              <w:t>Rørospost med profil som buer innover</w:t>
            </w:r>
            <w:r w:rsidR="002B1FE7">
              <w:t xml:space="preserve"> eller moderne uten profil.</w:t>
            </w:r>
          </w:p>
          <w:p w14:paraId="3DDC01A7" w14:textId="644DB7A4" w:rsidR="00D36B9B" w:rsidRDefault="007E2BC1" w:rsidP="00D36B9B">
            <w:r>
              <w:t>3-lag energiglass, 50mm tykk.</w:t>
            </w:r>
            <w:r w:rsidR="00D36B9B">
              <w:t xml:space="preserve"> </w:t>
            </w:r>
          </w:p>
          <w:p w14:paraId="3C383C4F" w14:textId="153EBD1E" w:rsidR="00D36B9B" w:rsidRPr="002B1FE7" w:rsidRDefault="00D36B9B" w:rsidP="00D36B9B">
            <w:r>
              <w:t xml:space="preserve">Hvit. </w:t>
            </w:r>
            <w:r w:rsidRPr="00A83EB9">
              <w:t>Rød på rø</w:t>
            </w:r>
            <w:r w:rsidR="004605BB" w:rsidRPr="00A83EB9">
              <w:t>ros</w:t>
            </w:r>
            <w:r w:rsidRPr="00A83EB9">
              <w:t>røde vindu</w:t>
            </w:r>
            <w:r w:rsidR="004605BB" w:rsidRPr="00A83EB9">
              <w:t>er</w:t>
            </w:r>
            <w:r w:rsidRPr="00A83EB9">
              <w:t>.</w:t>
            </w:r>
            <w:r w:rsidR="002B1FE7" w:rsidRPr="00A83EB9">
              <w:t xml:space="preserve"> </w:t>
            </w:r>
            <w:proofErr w:type="spellStart"/>
            <w:r w:rsidR="002B1FE7" w:rsidRPr="002B1FE7">
              <w:t>Kitten</w:t>
            </w:r>
            <w:proofErr w:type="spellEnd"/>
            <w:r w:rsidR="002B1FE7" w:rsidRPr="002B1FE7">
              <w:t xml:space="preserve"> er </w:t>
            </w:r>
            <w:proofErr w:type="spellStart"/>
            <w:r w:rsidR="002B1FE7" w:rsidRPr="002B1FE7">
              <w:t>overma</w:t>
            </w:r>
            <w:r w:rsidR="002B1FE7">
              <w:t>lbar</w:t>
            </w:r>
            <w:proofErr w:type="spellEnd"/>
            <w:r w:rsidR="002B1FE7">
              <w:t>. Spesialfarge er tilvalg.</w:t>
            </w:r>
          </w:p>
          <w:p w14:paraId="6EC5068A" w14:textId="7B3CD572" w:rsidR="00D36B9B" w:rsidRDefault="007E2BC1" w:rsidP="00D36B9B">
            <w:r>
              <w:t>Pålimt</w:t>
            </w:r>
            <w:r w:rsidR="00A83EB9">
              <w:t xml:space="preserve"> hvit</w:t>
            </w:r>
            <w:r>
              <w:t xml:space="preserve"> PVC- profil</w:t>
            </w:r>
            <w:r w:rsidR="00A83EB9">
              <w:t xml:space="preserve"> eller ABS for spesialfarge</w:t>
            </w:r>
            <w:r>
              <w:t xml:space="preserve"> utvendig som er </w:t>
            </w:r>
            <w:proofErr w:type="spellStart"/>
            <w:r>
              <w:t>innkittet</w:t>
            </w:r>
            <w:proofErr w:type="spellEnd"/>
            <w:r>
              <w:t xml:space="preserve">. Mellom glasslagene en 22 mm </w:t>
            </w:r>
            <w:proofErr w:type="spellStart"/>
            <w:r>
              <w:t>aluprofil</w:t>
            </w:r>
            <w:proofErr w:type="spellEnd"/>
            <w:r>
              <w:t xml:space="preserve"> som er pulverlakkert.</w:t>
            </w:r>
          </w:p>
          <w:p w14:paraId="260A53B0" w14:textId="458C73AE" w:rsidR="00D36B9B" w:rsidRDefault="00D36B9B" w:rsidP="00D36B9B">
            <w:r>
              <w:t>El-forsinket blank 160mm</w:t>
            </w:r>
          </w:p>
          <w:p w14:paraId="7719F294" w14:textId="3B8D2E1F" w:rsidR="00D12B7C" w:rsidRPr="00BD7967" w:rsidRDefault="00D12B7C" w:rsidP="000A786D">
            <w:r>
              <w:t>Lys grå RAL 7035</w:t>
            </w:r>
          </w:p>
          <w:p w14:paraId="7E81654C" w14:textId="4C36602D" w:rsidR="006A6BF1" w:rsidRPr="00A83EB9" w:rsidRDefault="00AF38EF" w:rsidP="000A786D">
            <w:r w:rsidRPr="00A83EB9">
              <w:t>Trelleborg sort</w:t>
            </w:r>
            <w:r w:rsidR="002B1FE7" w:rsidRPr="00A83EB9">
              <w:t>, 3mm klebelist.</w:t>
            </w:r>
          </w:p>
          <w:p w14:paraId="4500829F" w14:textId="3DA16749" w:rsidR="006A6BF1" w:rsidRPr="00A83EB9" w:rsidRDefault="00AF38EF" w:rsidP="000A786D">
            <w:r w:rsidRPr="00A83EB9">
              <w:t>QL 3099 Lysgrå</w:t>
            </w:r>
          </w:p>
          <w:p w14:paraId="74B9B6A8" w14:textId="0FE3EF6D" w:rsidR="006A6BF1" w:rsidRPr="00A83EB9" w:rsidRDefault="006A6BF1" w:rsidP="000A786D"/>
          <w:p w14:paraId="4FDA8B54" w14:textId="77777777" w:rsidR="006A6BF1" w:rsidRPr="00A83EB9" w:rsidRDefault="006A6BF1" w:rsidP="000A786D"/>
          <w:p w14:paraId="2D9253F8" w14:textId="17165C2B" w:rsidR="00D12B7C" w:rsidRDefault="00D12B7C" w:rsidP="000A786D">
            <w:r>
              <w:t>Trykkimpregnering Klasse B. 30 års garanti mot sopp og råte.</w:t>
            </w:r>
          </w:p>
          <w:p w14:paraId="19D5DD87" w14:textId="385EDCEA" w:rsidR="00490E94" w:rsidRDefault="00490E94" w:rsidP="00490E94">
            <w:pPr>
              <w:rPr>
                <w:lang w:val="en-US"/>
              </w:rPr>
            </w:pPr>
            <w:r>
              <w:rPr>
                <w:lang w:val="en-US"/>
              </w:rPr>
              <w:t xml:space="preserve">Sherwin Williams </w:t>
            </w:r>
            <w:proofErr w:type="spellStart"/>
            <w:r>
              <w:rPr>
                <w:lang w:val="en-US"/>
              </w:rPr>
              <w:t>vann</w:t>
            </w:r>
            <w:r w:rsidR="008F42B7">
              <w:rPr>
                <w:lang w:val="en-US"/>
              </w:rPr>
              <w:t>fortynnbar</w:t>
            </w:r>
            <w:proofErr w:type="spellEnd"/>
            <w:r>
              <w:rPr>
                <w:lang w:val="en-US"/>
              </w:rPr>
              <w:t xml:space="preserve"> 30 glans</w:t>
            </w:r>
            <w:r w:rsidR="002B1FE7">
              <w:rPr>
                <w:lang w:val="en-US"/>
              </w:rPr>
              <w:t>.</w:t>
            </w:r>
          </w:p>
          <w:p w14:paraId="23EC9087" w14:textId="2BEECBE9" w:rsidR="00D12B7C" w:rsidRPr="004356AF" w:rsidRDefault="00D12B7C" w:rsidP="000A786D">
            <w:pPr>
              <w:rPr>
                <w:lang w:val="en-US"/>
              </w:rPr>
            </w:pPr>
            <w:r w:rsidRPr="004356AF">
              <w:rPr>
                <w:lang w:val="en-US"/>
              </w:rPr>
              <w:t>Hvit NCS S0502-Y</w:t>
            </w:r>
            <w:r w:rsidR="00A83EB9">
              <w:rPr>
                <w:lang w:val="en-US"/>
              </w:rPr>
              <w:t xml:space="preserve">. Kan </w:t>
            </w:r>
            <w:proofErr w:type="spellStart"/>
            <w:r w:rsidR="00A83EB9">
              <w:rPr>
                <w:lang w:val="en-US"/>
              </w:rPr>
              <w:t>leveres</w:t>
            </w:r>
            <w:proofErr w:type="spellEnd"/>
            <w:r w:rsidR="00A83EB9">
              <w:rPr>
                <w:lang w:val="en-US"/>
              </w:rPr>
              <w:t xml:space="preserve"> I alle RAL </w:t>
            </w:r>
            <w:proofErr w:type="spellStart"/>
            <w:r w:rsidR="00A83EB9">
              <w:rPr>
                <w:lang w:val="en-US"/>
              </w:rPr>
              <w:t>og</w:t>
            </w:r>
            <w:proofErr w:type="spellEnd"/>
            <w:r w:rsidR="00A83EB9">
              <w:rPr>
                <w:lang w:val="en-US"/>
              </w:rPr>
              <w:t xml:space="preserve"> NCS </w:t>
            </w:r>
            <w:proofErr w:type="spellStart"/>
            <w:r w:rsidR="00A83EB9">
              <w:rPr>
                <w:lang w:val="en-US"/>
              </w:rPr>
              <w:t>farger</w:t>
            </w:r>
            <w:proofErr w:type="spellEnd"/>
            <w:r w:rsidR="00A83EB9">
              <w:rPr>
                <w:lang w:val="en-US"/>
              </w:rPr>
              <w:t>.</w:t>
            </w:r>
          </w:p>
        </w:tc>
      </w:tr>
    </w:tbl>
    <w:p w14:paraId="2458A76A" w14:textId="77777777" w:rsidR="00D12B7C" w:rsidRPr="004356AF" w:rsidRDefault="00D12B7C" w:rsidP="00D12B7C">
      <w:pPr>
        <w:rPr>
          <w:lang w:val="en-US"/>
        </w:rPr>
      </w:pPr>
    </w:p>
    <w:tbl>
      <w:tblPr>
        <w:tblStyle w:val="Tabellrutenett"/>
        <w:tblW w:w="0" w:type="auto"/>
        <w:tblLook w:val="04A0" w:firstRow="1" w:lastRow="0" w:firstColumn="1" w:lastColumn="0" w:noHBand="0" w:noVBand="1"/>
      </w:tblPr>
      <w:tblGrid>
        <w:gridCol w:w="9062"/>
      </w:tblGrid>
      <w:tr w:rsidR="00D12B7C" w14:paraId="4992E9F8" w14:textId="77777777" w:rsidTr="000A786D">
        <w:tc>
          <w:tcPr>
            <w:tcW w:w="9062" w:type="dxa"/>
          </w:tcPr>
          <w:p w14:paraId="781B4780" w14:textId="77777777" w:rsidR="00D12B7C" w:rsidRPr="006C7DC0" w:rsidRDefault="00D12B7C" w:rsidP="000A786D">
            <w:pPr>
              <w:rPr>
                <w:b/>
                <w:bCs/>
              </w:rPr>
            </w:pPr>
            <w:r w:rsidRPr="006C7DC0">
              <w:rPr>
                <w:b/>
                <w:bCs/>
              </w:rPr>
              <w:t>VEDLIKEHOLD, RENGJØRING, REPERASJONER:</w:t>
            </w:r>
          </w:p>
        </w:tc>
      </w:tr>
      <w:tr w:rsidR="00D12B7C" w14:paraId="2412BC38" w14:textId="77777777" w:rsidTr="000A786D">
        <w:tc>
          <w:tcPr>
            <w:tcW w:w="9062" w:type="dxa"/>
          </w:tcPr>
          <w:p w14:paraId="24269B4C" w14:textId="77777777" w:rsidR="00D12B7C" w:rsidRPr="006D603E" w:rsidRDefault="00D12B7C" w:rsidP="000A786D">
            <w:pPr>
              <w:rPr>
                <w:b/>
                <w:bCs/>
              </w:rPr>
            </w:pPr>
            <w:r w:rsidRPr="006D603E">
              <w:rPr>
                <w:b/>
                <w:bCs/>
              </w:rPr>
              <w:t>Vedlikehold generelt:</w:t>
            </w:r>
          </w:p>
          <w:p w14:paraId="78208208" w14:textId="77777777" w:rsidR="00D12B7C" w:rsidRDefault="00D12B7C" w:rsidP="000A786D">
            <w:r>
              <w:t>Alle overflater som ikke er behandlet fra fabrikk må så fort som mulig og uten opphold behandles av kunde for å hindre fuktopptak og andre skader.</w:t>
            </w:r>
          </w:p>
          <w:p w14:paraId="12295B6E" w14:textId="77777777" w:rsidR="00D12B7C" w:rsidRDefault="00D12B7C" w:rsidP="000A786D">
            <w:r>
              <w:t>Karmfalser, glassrammenes sider over og under blir overflatebehandlet.</w:t>
            </w:r>
          </w:p>
          <w:p w14:paraId="57A53B70" w14:textId="373C364A" w:rsidR="00D12B7C" w:rsidRDefault="00D12B7C" w:rsidP="000A786D">
            <w:r>
              <w:t>Fugemassen/</w:t>
            </w:r>
            <w:proofErr w:type="spellStart"/>
            <w:r>
              <w:t>kitten</w:t>
            </w:r>
            <w:proofErr w:type="spellEnd"/>
            <w:r>
              <w:t xml:space="preserve"> behandles som vinduet utvendig. Kan også stå ubehandlet. Spesialfarge</w:t>
            </w:r>
            <w:r w:rsidR="00261646">
              <w:t xml:space="preserve"> på kitt</w:t>
            </w:r>
            <w:r>
              <w:t xml:space="preserve"> er </w:t>
            </w:r>
            <w:proofErr w:type="spellStart"/>
            <w:r w:rsidR="007E2BC1">
              <w:t>overmalbar</w:t>
            </w:r>
            <w:proofErr w:type="spellEnd"/>
            <w:r w:rsidR="007E2BC1">
              <w:t>.</w:t>
            </w:r>
          </w:p>
          <w:p w14:paraId="78E62587" w14:textId="77777777" w:rsidR="00D12B7C" w:rsidRDefault="00D12B7C" w:rsidP="000A786D">
            <w:r>
              <w:t>Tettelister skal ikke overflatebehandles, og bør ikke komme i kontakt med White Spirit (terpentin)</w:t>
            </w:r>
          </w:p>
          <w:p w14:paraId="303AB730" w14:textId="77777777" w:rsidR="00D12B7C" w:rsidRDefault="00D12B7C" w:rsidP="000A786D"/>
          <w:p w14:paraId="57926BC0" w14:textId="77777777" w:rsidR="00D12B7C" w:rsidRDefault="00D12B7C" w:rsidP="000A786D">
            <w:r>
              <w:t>Utvendig vedlikehold:</w:t>
            </w:r>
          </w:p>
          <w:p w14:paraId="273C913F" w14:textId="77777777" w:rsidR="00D12B7C" w:rsidRDefault="00D12B7C" w:rsidP="000A786D">
            <w:r>
              <w:t xml:space="preserve">Inspiser produktene minst 2 ganger årlig spesielt i værutsatte strøk. </w:t>
            </w:r>
            <w:r w:rsidRPr="00B46D7C">
              <w:t>Små sår, blærer, skader og slitasje må ut</w:t>
            </w:r>
            <w:r>
              <w:t xml:space="preserve">bedres umiddelbart, for å hindre fuktinntrengning, svelling og misfarging. Vinduer og dører produsert i tre vil ha en naturlig krymping/svelling gjennom året. Det er mest gunstig å foreta vedlikehold tidlig på våren eller sent på høsten.  </w:t>
            </w:r>
          </w:p>
          <w:p w14:paraId="599CF853" w14:textId="77777777" w:rsidR="00D12B7C" w:rsidRDefault="00D12B7C" w:rsidP="000A786D">
            <w:r>
              <w:lastRenderedPageBreak/>
              <w:t xml:space="preserve">Overflater vil påvirkes ulikt, avhengig av plassering, klimatiske forhold og solpåvirkning. Produkter plassert sørvendt trenger oftere vedlikehold. Det samme gjelder produkter plassert på vindutsatte steder, særlig sammen med regn og snø. Ta hensyn til dette i forhold til </w:t>
            </w:r>
            <w:proofErr w:type="spellStart"/>
            <w:r>
              <w:t>vedlikeholdsintervall</w:t>
            </w:r>
            <w:proofErr w:type="spellEnd"/>
            <w:r>
              <w:t>.</w:t>
            </w:r>
          </w:p>
          <w:p w14:paraId="75EF6B34" w14:textId="77777777" w:rsidR="00D12B7C" w:rsidRDefault="00D12B7C" w:rsidP="000A786D">
            <w:r>
              <w:t>Foreta en grundig rengjøring, og mal deretter med et anerkjent produkt for utvendig bruk, 1-2 strøk etter behov. Ved etterbehandling følges våre generelle råd om behandling.</w:t>
            </w:r>
          </w:p>
          <w:p w14:paraId="74487355" w14:textId="77777777" w:rsidR="006A6BF1" w:rsidRDefault="006A6BF1" w:rsidP="000A786D"/>
          <w:p w14:paraId="3877E3EE" w14:textId="77777777" w:rsidR="00D12B7C" w:rsidRDefault="00D12B7C" w:rsidP="000A786D">
            <w:r>
              <w:t>Innvendig vedlikehold:</w:t>
            </w:r>
          </w:p>
          <w:p w14:paraId="6A6FFE72" w14:textId="77777777" w:rsidR="00D12B7C" w:rsidRDefault="00D12B7C" w:rsidP="000A786D">
            <w:r w:rsidRPr="008A76FD">
              <w:t>Ved små sår, skader og slitasje reng</w:t>
            </w:r>
            <w:r>
              <w:t>jøres produktet grundig før behandling med anbefalt lakk eller maling. Slip med fint sandpapir og påfør 1-2 strøk etter behov. Husk mellomsliping ved flere lag. Ved etterbehandling følges våre generelle råd om behandling.</w:t>
            </w:r>
          </w:p>
          <w:p w14:paraId="65814536" w14:textId="77777777" w:rsidR="00D12B7C" w:rsidRDefault="00D12B7C" w:rsidP="000A786D"/>
          <w:p w14:paraId="2B4914BE" w14:textId="77777777" w:rsidR="00D12B7C" w:rsidRDefault="00D12B7C" w:rsidP="000A786D">
            <w:r>
              <w:t xml:space="preserve">Hengsler og beslag smøres/oljes minimum 1 gang årlig. Før smøring må beslag rengjøres med såpevann og klut. Benytt smøremidler som ikke skader produktet. Må ikke påføres tettelister. </w:t>
            </w:r>
          </w:p>
          <w:p w14:paraId="2DAD749F" w14:textId="77777777" w:rsidR="00D12B7C" w:rsidRPr="008A76FD" w:rsidRDefault="00D12B7C" w:rsidP="000A786D">
            <w:r>
              <w:t>Særlig glideskinner, men også annet beslag kan være utsatt for veistøv og annen nedsmussing.</w:t>
            </w:r>
          </w:p>
          <w:p w14:paraId="725FC90E" w14:textId="77777777" w:rsidR="00D12B7C" w:rsidRPr="008A76FD" w:rsidRDefault="00D12B7C" w:rsidP="000A786D">
            <w:r>
              <w:t xml:space="preserve">Se til at skruer til vridere er faste. Gå over for </w:t>
            </w:r>
            <w:proofErr w:type="spellStart"/>
            <w:r>
              <w:t>etterfesting</w:t>
            </w:r>
            <w:proofErr w:type="spellEnd"/>
            <w:r>
              <w:t xml:space="preserve"> av alle skruer etter en tids bruk. </w:t>
            </w:r>
          </w:p>
          <w:p w14:paraId="5FB1215C" w14:textId="77777777" w:rsidR="00D12B7C" w:rsidRDefault="00D12B7C" w:rsidP="000A786D"/>
          <w:p w14:paraId="2959A941" w14:textId="77777777" w:rsidR="00D12B7C" w:rsidRDefault="00D12B7C" w:rsidP="000A786D">
            <w:r>
              <w:t xml:space="preserve">NB: Våre råd vedrørende overflatebehandling er kun å betrakte som veiledende og gir ingen garanti. </w:t>
            </w:r>
          </w:p>
          <w:p w14:paraId="6FBEEC7D" w14:textId="77777777" w:rsidR="00D12B7C" w:rsidRDefault="00D12B7C" w:rsidP="000A786D"/>
          <w:p w14:paraId="0A837B5D" w14:textId="77777777" w:rsidR="00D12B7C" w:rsidRPr="006D603E" w:rsidRDefault="00D12B7C" w:rsidP="000A786D">
            <w:pPr>
              <w:rPr>
                <w:b/>
                <w:bCs/>
              </w:rPr>
            </w:pPr>
            <w:r w:rsidRPr="006D603E">
              <w:rPr>
                <w:b/>
                <w:bCs/>
              </w:rPr>
              <w:t>Rengjøring:</w:t>
            </w:r>
          </w:p>
          <w:p w14:paraId="71204D50" w14:textId="77777777" w:rsidR="00D12B7C" w:rsidRDefault="00D12B7C" w:rsidP="000A786D">
            <w:r>
              <w:t xml:space="preserve">Vi anbefaler årlig rengjøring eller etter behov. Bruk mildt såpevann uten slipemidler. Unngå etsende væske, slipemidler og skarpe gjenstander på glasset. </w:t>
            </w:r>
          </w:p>
          <w:p w14:paraId="7F42EE8B" w14:textId="77777777" w:rsidR="00D12B7C" w:rsidRDefault="00D12B7C" w:rsidP="000A786D"/>
          <w:p w14:paraId="45C64DB2" w14:textId="2D4FBCA1" w:rsidR="00D12B7C" w:rsidRPr="00A85E36" w:rsidRDefault="00D12B7C" w:rsidP="000A786D">
            <w:pPr>
              <w:rPr>
                <w:b/>
                <w:bCs/>
              </w:rPr>
            </w:pPr>
            <w:r w:rsidRPr="00A85E36">
              <w:rPr>
                <w:b/>
                <w:bCs/>
              </w:rPr>
              <w:t>Rep</w:t>
            </w:r>
            <w:r w:rsidR="00E72353">
              <w:rPr>
                <w:b/>
                <w:bCs/>
              </w:rPr>
              <w:t>a</w:t>
            </w:r>
            <w:r w:rsidRPr="00A85E36">
              <w:rPr>
                <w:b/>
                <w:bCs/>
              </w:rPr>
              <w:t>rasjoner:</w:t>
            </w:r>
          </w:p>
          <w:p w14:paraId="639F8199" w14:textId="77777777" w:rsidR="00D12B7C" w:rsidRDefault="00D12B7C" w:rsidP="000A786D">
            <w:r>
              <w:t xml:space="preserve">Skader i overflate må repareres fortløpende for å unngå fuktopptak og skade på produktet.  </w:t>
            </w:r>
          </w:p>
          <w:p w14:paraId="793BC5E9" w14:textId="77777777" w:rsidR="00D12B7C" w:rsidRDefault="00D12B7C" w:rsidP="000A786D">
            <w:r>
              <w:t>Eventuelle feil og mangler meldes til den du kjøpte produktet av.</w:t>
            </w:r>
          </w:p>
          <w:p w14:paraId="05247B1A" w14:textId="77777777" w:rsidR="00D12B7C" w:rsidRDefault="00D12B7C" w:rsidP="000A786D">
            <w:r>
              <w:t xml:space="preserve">Brudd i glass kan oppstå ved mekanisk (trykk/støt/slag) og termisk påvirkning. Les mer om dette i </w:t>
            </w:r>
            <w:hyperlink r:id="rId5" w:history="1">
              <w:r w:rsidRPr="00905716">
                <w:rPr>
                  <w:rStyle w:val="Hyperkobling"/>
                </w:rPr>
                <w:t>Fakta og gode råd</w:t>
              </w:r>
            </w:hyperlink>
            <w:r>
              <w:t xml:space="preserve"> og </w:t>
            </w:r>
            <w:hyperlink r:id="rId6" w:history="1">
              <w:r w:rsidRPr="00905716">
                <w:rPr>
                  <w:rStyle w:val="Hyperkobling"/>
                </w:rPr>
                <w:t>Kvalitetskriterier fra vår glassleverandør</w:t>
              </w:r>
            </w:hyperlink>
          </w:p>
          <w:p w14:paraId="639346DF" w14:textId="77777777" w:rsidR="00D12B7C" w:rsidRDefault="00D12B7C" w:rsidP="000A786D"/>
        </w:tc>
      </w:tr>
    </w:tbl>
    <w:p w14:paraId="7DCB76B3" w14:textId="4372AD6E" w:rsidR="00D12B7C" w:rsidRDefault="00D12B7C" w:rsidP="00D12B7C"/>
    <w:p w14:paraId="1D9A2B46" w14:textId="77777777" w:rsidR="002B1FE7" w:rsidRDefault="002B1FE7" w:rsidP="004605BB">
      <w:pPr>
        <w:autoSpaceDE w:val="0"/>
        <w:autoSpaceDN w:val="0"/>
        <w:adjustRightInd w:val="0"/>
        <w:rPr>
          <w:rFonts w:ascii="Arial" w:hAnsi="Arial"/>
          <w:i/>
          <w:sz w:val="28"/>
          <w:szCs w:val="28"/>
        </w:rPr>
      </w:pPr>
    </w:p>
    <w:p w14:paraId="0B8C062B" w14:textId="77777777" w:rsidR="002B1FE7" w:rsidRDefault="002B1FE7" w:rsidP="004605BB">
      <w:pPr>
        <w:autoSpaceDE w:val="0"/>
        <w:autoSpaceDN w:val="0"/>
        <w:adjustRightInd w:val="0"/>
        <w:rPr>
          <w:rFonts w:ascii="Arial" w:hAnsi="Arial"/>
          <w:i/>
          <w:sz w:val="28"/>
          <w:szCs w:val="28"/>
        </w:rPr>
      </w:pPr>
    </w:p>
    <w:p w14:paraId="3468D1AD" w14:textId="77777777" w:rsidR="002B1FE7" w:rsidRDefault="002B1FE7" w:rsidP="004605BB">
      <w:pPr>
        <w:autoSpaceDE w:val="0"/>
        <w:autoSpaceDN w:val="0"/>
        <w:adjustRightInd w:val="0"/>
        <w:rPr>
          <w:rFonts w:ascii="Arial" w:hAnsi="Arial"/>
          <w:i/>
          <w:sz w:val="28"/>
          <w:szCs w:val="28"/>
        </w:rPr>
      </w:pPr>
    </w:p>
    <w:p w14:paraId="30E11C9F" w14:textId="77777777" w:rsidR="002B1FE7" w:rsidRDefault="002B1FE7" w:rsidP="004605BB">
      <w:pPr>
        <w:autoSpaceDE w:val="0"/>
        <w:autoSpaceDN w:val="0"/>
        <w:adjustRightInd w:val="0"/>
        <w:rPr>
          <w:rFonts w:ascii="Arial" w:hAnsi="Arial"/>
          <w:i/>
          <w:sz w:val="28"/>
          <w:szCs w:val="28"/>
        </w:rPr>
      </w:pPr>
    </w:p>
    <w:p w14:paraId="5BA487C0" w14:textId="77777777" w:rsidR="002B1FE7" w:rsidRDefault="002B1FE7" w:rsidP="004605BB">
      <w:pPr>
        <w:autoSpaceDE w:val="0"/>
        <w:autoSpaceDN w:val="0"/>
        <w:adjustRightInd w:val="0"/>
        <w:rPr>
          <w:rFonts w:ascii="Arial" w:hAnsi="Arial"/>
          <w:i/>
          <w:sz w:val="28"/>
          <w:szCs w:val="28"/>
        </w:rPr>
      </w:pPr>
    </w:p>
    <w:p w14:paraId="4E7574D8" w14:textId="77777777" w:rsidR="002B1FE7" w:rsidRDefault="002B1FE7" w:rsidP="004605BB">
      <w:pPr>
        <w:autoSpaceDE w:val="0"/>
        <w:autoSpaceDN w:val="0"/>
        <w:adjustRightInd w:val="0"/>
        <w:rPr>
          <w:rFonts w:ascii="Arial" w:hAnsi="Arial"/>
          <w:i/>
          <w:sz w:val="28"/>
          <w:szCs w:val="28"/>
        </w:rPr>
      </w:pPr>
    </w:p>
    <w:p w14:paraId="0BCC4A3B" w14:textId="77777777" w:rsidR="002B1FE7" w:rsidRDefault="002B1FE7" w:rsidP="004605BB">
      <w:pPr>
        <w:autoSpaceDE w:val="0"/>
        <w:autoSpaceDN w:val="0"/>
        <w:adjustRightInd w:val="0"/>
        <w:rPr>
          <w:rFonts w:ascii="Arial" w:hAnsi="Arial"/>
          <w:i/>
          <w:sz w:val="28"/>
          <w:szCs w:val="28"/>
        </w:rPr>
      </w:pPr>
    </w:p>
    <w:p w14:paraId="7158CEDF" w14:textId="77777777" w:rsidR="002B1FE7" w:rsidRDefault="002B1FE7" w:rsidP="004605BB">
      <w:pPr>
        <w:autoSpaceDE w:val="0"/>
        <w:autoSpaceDN w:val="0"/>
        <w:adjustRightInd w:val="0"/>
        <w:rPr>
          <w:rFonts w:ascii="Arial" w:hAnsi="Arial"/>
          <w:i/>
          <w:sz w:val="28"/>
          <w:szCs w:val="28"/>
        </w:rPr>
      </w:pPr>
    </w:p>
    <w:p w14:paraId="207B431B" w14:textId="77777777" w:rsidR="002B1FE7" w:rsidRDefault="002B1FE7" w:rsidP="004605BB">
      <w:pPr>
        <w:autoSpaceDE w:val="0"/>
        <w:autoSpaceDN w:val="0"/>
        <w:adjustRightInd w:val="0"/>
        <w:rPr>
          <w:rFonts w:ascii="Arial" w:hAnsi="Arial"/>
          <w:i/>
          <w:sz w:val="28"/>
          <w:szCs w:val="28"/>
        </w:rPr>
      </w:pPr>
    </w:p>
    <w:p w14:paraId="6C7AAC88" w14:textId="77777777" w:rsidR="002B1FE7" w:rsidRDefault="002B1FE7" w:rsidP="004605BB">
      <w:pPr>
        <w:autoSpaceDE w:val="0"/>
        <w:autoSpaceDN w:val="0"/>
        <w:adjustRightInd w:val="0"/>
        <w:rPr>
          <w:rFonts w:ascii="Arial" w:hAnsi="Arial"/>
          <w:i/>
          <w:sz w:val="28"/>
          <w:szCs w:val="28"/>
        </w:rPr>
      </w:pPr>
    </w:p>
    <w:p w14:paraId="63D6EBF2" w14:textId="77777777" w:rsidR="002B1FE7" w:rsidRDefault="002B1FE7" w:rsidP="004605BB">
      <w:pPr>
        <w:autoSpaceDE w:val="0"/>
        <w:autoSpaceDN w:val="0"/>
        <w:adjustRightInd w:val="0"/>
        <w:rPr>
          <w:rFonts w:ascii="Arial" w:hAnsi="Arial"/>
          <w:i/>
          <w:sz w:val="28"/>
          <w:szCs w:val="28"/>
        </w:rPr>
      </w:pPr>
    </w:p>
    <w:p w14:paraId="26BA175D" w14:textId="4BE87D14" w:rsidR="004605BB" w:rsidRDefault="004605BB" w:rsidP="004605BB">
      <w:pPr>
        <w:autoSpaceDE w:val="0"/>
        <w:autoSpaceDN w:val="0"/>
        <w:adjustRightInd w:val="0"/>
        <w:rPr>
          <w:rFonts w:ascii="Arial" w:eastAsia="Calibri" w:hAnsi="Arial" w:cs="Arial"/>
          <w:i/>
          <w:color w:val="231F20"/>
          <w:sz w:val="28"/>
          <w:szCs w:val="28"/>
        </w:rPr>
      </w:pPr>
      <w:r w:rsidRPr="00424275">
        <w:rPr>
          <w:rFonts w:ascii="Arial" w:hAnsi="Arial"/>
          <w:i/>
          <w:sz w:val="28"/>
          <w:szCs w:val="28"/>
        </w:rPr>
        <w:lastRenderedPageBreak/>
        <w:t xml:space="preserve">Hengsler </w:t>
      </w:r>
      <w:r>
        <w:rPr>
          <w:rFonts w:ascii="Arial" w:hAnsi="Arial"/>
          <w:i/>
          <w:sz w:val="28"/>
          <w:szCs w:val="28"/>
        </w:rPr>
        <w:t xml:space="preserve">og glideskinne </w:t>
      </w:r>
      <w:r w:rsidRPr="00424275">
        <w:rPr>
          <w:rFonts w:ascii="Arial" w:hAnsi="Arial"/>
          <w:i/>
          <w:sz w:val="28"/>
          <w:szCs w:val="28"/>
        </w:rPr>
        <w:t xml:space="preserve">skal smøres </w:t>
      </w:r>
      <w:r>
        <w:rPr>
          <w:rFonts w:ascii="Arial" w:hAnsi="Arial"/>
          <w:i/>
          <w:sz w:val="28"/>
          <w:szCs w:val="28"/>
        </w:rPr>
        <w:t>ved behov</w:t>
      </w:r>
      <w:r w:rsidRPr="00424275">
        <w:rPr>
          <w:rFonts w:ascii="Arial" w:hAnsi="Arial"/>
          <w:i/>
          <w:sz w:val="28"/>
          <w:szCs w:val="28"/>
        </w:rPr>
        <w:t>. Benytt vaselin eller tilsvarende</w:t>
      </w:r>
      <w:r>
        <w:rPr>
          <w:rFonts w:ascii="Arial" w:hAnsi="Arial"/>
          <w:i/>
          <w:sz w:val="28"/>
          <w:szCs w:val="28"/>
        </w:rPr>
        <w:t>,     se fig. 1</w:t>
      </w:r>
      <w:r w:rsidR="002B1FE7">
        <w:rPr>
          <w:rFonts w:ascii="Arial" w:hAnsi="Arial"/>
          <w:i/>
          <w:sz w:val="28"/>
          <w:szCs w:val="28"/>
        </w:rPr>
        <w:t>.</w:t>
      </w:r>
    </w:p>
    <w:p w14:paraId="4C1F0288" w14:textId="77777777" w:rsidR="004605BB" w:rsidRDefault="004605BB" w:rsidP="004605BB">
      <w:pPr>
        <w:autoSpaceDE w:val="0"/>
        <w:autoSpaceDN w:val="0"/>
        <w:adjustRightInd w:val="0"/>
        <w:rPr>
          <w:rFonts w:ascii="Arial" w:eastAsia="Calibri" w:hAnsi="Arial" w:cs="Arial"/>
          <w:i/>
          <w:color w:val="231F20"/>
          <w:sz w:val="28"/>
          <w:szCs w:val="28"/>
        </w:rPr>
      </w:pPr>
    </w:p>
    <w:p w14:paraId="5CB0FAA4" w14:textId="77777777" w:rsidR="004605BB" w:rsidRDefault="004605BB" w:rsidP="004605BB">
      <w:pPr>
        <w:autoSpaceDE w:val="0"/>
        <w:autoSpaceDN w:val="0"/>
        <w:adjustRightInd w:val="0"/>
        <w:rPr>
          <w:rFonts w:ascii="Arial" w:eastAsia="Calibri" w:hAnsi="Arial" w:cs="Arial"/>
          <w:i/>
          <w:color w:val="231F20"/>
          <w:sz w:val="28"/>
          <w:szCs w:val="28"/>
        </w:rPr>
      </w:pPr>
    </w:p>
    <w:p w14:paraId="23F02F89" w14:textId="272C13ED" w:rsidR="00F23D2E" w:rsidRPr="004605BB" w:rsidRDefault="004605BB" w:rsidP="004605BB">
      <w:pPr>
        <w:autoSpaceDE w:val="0"/>
        <w:autoSpaceDN w:val="0"/>
        <w:adjustRightInd w:val="0"/>
        <w:rPr>
          <w:rFonts w:ascii="Arial" w:eastAsia="Calibri" w:hAnsi="Arial" w:cs="Arial"/>
          <w:i/>
          <w:color w:val="231F20"/>
          <w:sz w:val="28"/>
          <w:szCs w:val="28"/>
        </w:rPr>
      </w:pPr>
      <w:r>
        <w:rPr>
          <w:rFonts w:ascii="Arial" w:eastAsia="Calibri" w:hAnsi="Arial" w:cs="Arial"/>
          <w:i/>
          <w:color w:val="231F20"/>
          <w:sz w:val="28"/>
          <w:szCs w:val="28"/>
        </w:rPr>
        <w:t xml:space="preserve">                   </w:t>
      </w:r>
      <w:r>
        <w:rPr>
          <w:rFonts w:ascii="Arial" w:eastAsia="Calibri" w:hAnsi="Arial" w:cs="Arial"/>
          <w:i/>
          <w:color w:val="231F20"/>
          <w:sz w:val="28"/>
          <w:szCs w:val="28"/>
        </w:rPr>
        <w:tab/>
      </w:r>
      <w:r w:rsidRPr="00F13EE6">
        <w:rPr>
          <w:rFonts w:ascii="Arial" w:eastAsia="Calibri" w:hAnsi="Arial" w:cs="Arial"/>
          <w:i/>
          <w:noProof/>
          <w:color w:val="231F20"/>
          <w:sz w:val="28"/>
          <w:szCs w:val="28"/>
        </w:rPr>
        <w:drawing>
          <wp:inline distT="0" distB="0" distL="0" distR="0" wp14:anchorId="0C1572B4" wp14:editId="495B4CA9">
            <wp:extent cx="2790825" cy="2091273"/>
            <wp:effectExtent l="76200" t="57150" r="28575" b="918627"/>
            <wp:docPr id="2" name="Bilde 1" descr="C:\Users\Public\Documents\Word dokumenter\FDV-dokumentasjon-Røros Bruk\FDV_utsendt til høring\LR_Vindu_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Documents\Word dokumenter\FDV-dokumentasjon-Røros Bruk\FDV_utsendt til høring\LR_Vindu_1_7.jpg"/>
                    <pic:cNvPicPr>
                      <a:picLocks noChangeAspect="1" noChangeArrowheads="1"/>
                    </pic:cNvPicPr>
                  </pic:nvPicPr>
                  <pic:blipFill>
                    <a:blip r:embed="rId7" cstate="print"/>
                    <a:srcRect/>
                    <a:stretch>
                      <a:fillRect/>
                    </a:stretch>
                  </pic:blipFill>
                  <pic:spPr bwMode="auto">
                    <a:xfrm>
                      <a:off x="0" y="0"/>
                      <a:ext cx="2790825" cy="209127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r>
        <w:rPr>
          <w:rFonts w:ascii="Arial" w:eastAsia="Calibri" w:hAnsi="Arial" w:cs="Arial"/>
          <w:i/>
          <w:color w:val="231F20"/>
          <w:sz w:val="28"/>
          <w:szCs w:val="28"/>
        </w:rPr>
        <w:t>Fig.1</w:t>
      </w:r>
    </w:p>
    <w:p w14:paraId="31B4F9BD" w14:textId="77777777" w:rsidR="00F23D2E" w:rsidRDefault="00F23D2E" w:rsidP="00D12B7C"/>
    <w:tbl>
      <w:tblPr>
        <w:tblStyle w:val="Tabellrutenett"/>
        <w:tblW w:w="0" w:type="auto"/>
        <w:tblLook w:val="04A0" w:firstRow="1" w:lastRow="0" w:firstColumn="1" w:lastColumn="0" w:noHBand="0" w:noVBand="1"/>
      </w:tblPr>
      <w:tblGrid>
        <w:gridCol w:w="9062"/>
      </w:tblGrid>
      <w:tr w:rsidR="00D12B7C" w14:paraId="6436335A" w14:textId="77777777" w:rsidTr="000A786D">
        <w:tc>
          <w:tcPr>
            <w:tcW w:w="9062" w:type="dxa"/>
          </w:tcPr>
          <w:p w14:paraId="0195A060" w14:textId="77777777" w:rsidR="00D12B7C" w:rsidRPr="006C7DC0" w:rsidRDefault="00D12B7C" w:rsidP="000A786D">
            <w:pPr>
              <w:rPr>
                <w:b/>
                <w:bCs/>
              </w:rPr>
            </w:pPr>
            <w:r w:rsidRPr="006C7DC0">
              <w:rPr>
                <w:b/>
                <w:bCs/>
              </w:rPr>
              <w:t>LEVERANDØR:</w:t>
            </w:r>
          </w:p>
        </w:tc>
      </w:tr>
      <w:tr w:rsidR="00D12B7C" w14:paraId="07A886B1" w14:textId="77777777" w:rsidTr="000A786D">
        <w:tc>
          <w:tcPr>
            <w:tcW w:w="9062" w:type="dxa"/>
          </w:tcPr>
          <w:p w14:paraId="0E5CF18B" w14:textId="77777777" w:rsidR="00D12B7C" w:rsidRDefault="00D12B7C" w:rsidP="000A786D">
            <w:pPr>
              <w:jc w:val="center"/>
              <w:rPr>
                <w:b/>
                <w:bCs/>
              </w:rPr>
            </w:pPr>
          </w:p>
          <w:p w14:paraId="1EAB2B61" w14:textId="77777777" w:rsidR="00D12B7C" w:rsidRPr="004D54BA" w:rsidRDefault="00D12B7C" w:rsidP="000A786D">
            <w:pPr>
              <w:jc w:val="center"/>
            </w:pPr>
            <w:r w:rsidRPr="004D54BA">
              <w:rPr>
                <w:b/>
                <w:bCs/>
              </w:rPr>
              <w:t xml:space="preserve">Røros Dører og Vinduer AS </w:t>
            </w:r>
            <w:r w:rsidRPr="004D54BA">
              <w:rPr>
                <w:rFonts w:cstheme="minorHAnsi"/>
                <w:b/>
                <w:bCs/>
              </w:rPr>
              <w:t>|</w:t>
            </w:r>
            <w:r w:rsidRPr="004D54BA">
              <w:rPr>
                <w:b/>
                <w:bCs/>
              </w:rPr>
              <w:t xml:space="preserve">Osloveien 38 </w:t>
            </w:r>
            <w:r w:rsidRPr="004D54BA">
              <w:rPr>
                <w:rFonts w:cstheme="minorHAnsi"/>
                <w:b/>
                <w:bCs/>
              </w:rPr>
              <w:t>|</w:t>
            </w:r>
            <w:r w:rsidRPr="004D54BA">
              <w:rPr>
                <w:b/>
                <w:bCs/>
              </w:rPr>
              <w:t xml:space="preserve">7374 Røros </w:t>
            </w:r>
            <w:r w:rsidRPr="004D54BA">
              <w:rPr>
                <w:rFonts w:ascii="Calibri" w:hAnsi="Calibri" w:cs="Calibri"/>
                <w:b/>
                <w:bCs/>
              </w:rPr>
              <w:t>|</w:t>
            </w:r>
            <w:r w:rsidRPr="004D54BA">
              <w:rPr>
                <w:b/>
                <w:bCs/>
              </w:rPr>
              <w:t xml:space="preserve">72 40 63 00 </w:t>
            </w:r>
            <w:r w:rsidRPr="004D54BA">
              <w:rPr>
                <w:rFonts w:ascii="Calibri" w:hAnsi="Calibri" w:cs="Calibri"/>
                <w:b/>
                <w:bCs/>
              </w:rPr>
              <w:t>|</w:t>
            </w:r>
            <w:r>
              <w:rPr>
                <w:rFonts w:ascii="Calibri" w:hAnsi="Calibri" w:cs="Calibri"/>
                <w:b/>
                <w:bCs/>
              </w:rPr>
              <w:t>ordre@rorosvinduet.no</w:t>
            </w:r>
          </w:p>
          <w:p w14:paraId="27ABDF76" w14:textId="77777777" w:rsidR="00D12B7C" w:rsidRDefault="00D12B7C" w:rsidP="000A786D"/>
        </w:tc>
      </w:tr>
    </w:tbl>
    <w:p w14:paraId="6743D917" w14:textId="77777777" w:rsidR="00D12B7C" w:rsidRDefault="00D12B7C" w:rsidP="00D12B7C">
      <w:r>
        <w:rPr>
          <w:noProof/>
        </w:rPr>
        <w:drawing>
          <wp:anchor distT="0" distB="0" distL="114300" distR="114300" simplePos="0" relativeHeight="251659264" behindDoc="0" locked="0" layoutInCell="1" allowOverlap="1" wp14:anchorId="3240B4D7" wp14:editId="77667292">
            <wp:simplePos x="0" y="0"/>
            <wp:positionH relativeFrom="margin">
              <wp:posOffset>338455</wp:posOffset>
            </wp:positionH>
            <wp:positionV relativeFrom="paragraph">
              <wp:posOffset>51435</wp:posOffset>
            </wp:positionV>
            <wp:extent cx="3620135" cy="781050"/>
            <wp:effectExtent l="0" t="0" r="0" b="0"/>
            <wp:wrapNone/>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pic:cNvPicPr/>
                  </pic:nvPicPr>
                  <pic:blipFill rotWithShape="1">
                    <a:blip r:embed="rId8">
                      <a:extLst>
                        <a:ext uri="{28A0092B-C50C-407E-A947-70E740481C1C}">
                          <a14:useLocalDpi xmlns:a14="http://schemas.microsoft.com/office/drawing/2010/main" val="0"/>
                        </a:ext>
                      </a:extLst>
                    </a:blip>
                    <a:srcRect t="15418" r="1143" b="5018"/>
                    <a:stretch/>
                  </pic:blipFill>
                  <pic:spPr bwMode="auto">
                    <a:xfrm>
                      <a:off x="0" y="0"/>
                      <a:ext cx="3620135" cy="781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0463C68" wp14:editId="118834E1">
            <wp:simplePos x="0" y="0"/>
            <wp:positionH relativeFrom="column">
              <wp:posOffset>4091305</wp:posOffset>
            </wp:positionH>
            <wp:positionV relativeFrom="paragraph">
              <wp:posOffset>2540</wp:posOffset>
            </wp:positionV>
            <wp:extent cx="1217930" cy="514350"/>
            <wp:effectExtent l="0" t="0" r="1270" b="0"/>
            <wp:wrapThrough wrapText="bothSides">
              <wp:wrapPolygon edited="0">
                <wp:start x="0" y="0"/>
                <wp:lineTo x="0" y="20800"/>
                <wp:lineTo x="21285" y="20800"/>
                <wp:lineTo x="21285" y="0"/>
                <wp:lineTo x="0" y="0"/>
              </wp:wrapPolygon>
            </wp:wrapThrough>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pic:nvPicPr>
                  <pic:blipFill rotWithShape="1">
                    <a:blip r:embed="rId9">
                      <a:extLst>
                        <a:ext uri="{28A0092B-C50C-407E-A947-70E740481C1C}">
                          <a14:useLocalDpi xmlns:a14="http://schemas.microsoft.com/office/drawing/2010/main" val="0"/>
                        </a:ext>
                      </a:extLst>
                    </a:blip>
                    <a:srcRect l="10955" t="22472" r="8834" b="23595"/>
                    <a:stretch/>
                  </pic:blipFill>
                  <pic:spPr bwMode="auto">
                    <a:xfrm>
                      <a:off x="0" y="0"/>
                      <a:ext cx="1217930"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EC2850" w14:textId="77777777" w:rsidR="00D12B7C" w:rsidRDefault="00D12B7C" w:rsidP="00D12B7C">
      <w:r>
        <w:rPr>
          <w:noProof/>
        </w:rPr>
        <w:drawing>
          <wp:anchor distT="0" distB="0" distL="114300" distR="114300" simplePos="0" relativeHeight="251660288" behindDoc="0" locked="0" layoutInCell="1" allowOverlap="1" wp14:anchorId="31616013" wp14:editId="7FAF858D">
            <wp:simplePos x="0" y="0"/>
            <wp:positionH relativeFrom="margin">
              <wp:posOffset>4119880</wp:posOffset>
            </wp:positionH>
            <wp:positionV relativeFrom="paragraph">
              <wp:posOffset>222885</wp:posOffset>
            </wp:positionV>
            <wp:extent cx="1219200" cy="321830"/>
            <wp:effectExtent l="0" t="0" r="0" b="2540"/>
            <wp:wrapNone/>
            <wp:docPr id="6" name="Bilde 6" descr="Et bilde som inneholder tekst, utendørs, skil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tekst, utendørs, skilt&#10;&#10;Automatisk generer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321830"/>
                    </a:xfrm>
                    <a:prstGeom prst="rect">
                      <a:avLst/>
                    </a:prstGeom>
                  </pic:spPr>
                </pic:pic>
              </a:graphicData>
            </a:graphic>
            <wp14:sizeRelH relativeFrom="margin">
              <wp14:pctWidth>0</wp14:pctWidth>
            </wp14:sizeRelH>
            <wp14:sizeRelV relativeFrom="margin">
              <wp14:pctHeight>0</wp14:pctHeight>
            </wp14:sizeRelV>
          </wp:anchor>
        </w:drawing>
      </w:r>
    </w:p>
    <w:p w14:paraId="0E283FAA" w14:textId="77777777" w:rsidR="00C81069" w:rsidRDefault="00C81069"/>
    <w:sectPr w:rsidR="00C810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7C"/>
    <w:rsid w:val="001D46C2"/>
    <w:rsid w:val="002332D5"/>
    <w:rsid w:val="00261646"/>
    <w:rsid w:val="002B1FE7"/>
    <w:rsid w:val="002F6B94"/>
    <w:rsid w:val="004356AF"/>
    <w:rsid w:val="004605BB"/>
    <w:rsid w:val="00490E94"/>
    <w:rsid w:val="006A6BF1"/>
    <w:rsid w:val="007E2BC1"/>
    <w:rsid w:val="0080650D"/>
    <w:rsid w:val="008A3DE8"/>
    <w:rsid w:val="008F42B7"/>
    <w:rsid w:val="009E54C6"/>
    <w:rsid w:val="00A25F9A"/>
    <w:rsid w:val="00A62011"/>
    <w:rsid w:val="00A83EB9"/>
    <w:rsid w:val="00AF38EF"/>
    <w:rsid w:val="00BE25CE"/>
    <w:rsid w:val="00BE46FD"/>
    <w:rsid w:val="00C81069"/>
    <w:rsid w:val="00CE3A2E"/>
    <w:rsid w:val="00D12B7C"/>
    <w:rsid w:val="00D36B9B"/>
    <w:rsid w:val="00E72353"/>
    <w:rsid w:val="00EB5EB2"/>
    <w:rsid w:val="00F026E3"/>
    <w:rsid w:val="00F23D2E"/>
    <w:rsid w:val="00F867F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C4D3"/>
  <w15:chartTrackingRefBased/>
  <w15:docId w15:val="{E1B53A46-5583-48E1-850D-61A5D479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B7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D1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D12B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44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rosdv.no/assets/Uploads/Kvalitetskriterier-for-isolerruter.pdf" TargetMode="External"/><Relationship Id="rId11" Type="http://schemas.openxmlformats.org/officeDocument/2006/relationships/fontTable" Target="fontTable.xml"/><Relationship Id="rId5" Type="http://schemas.openxmlformats.org/officeDocument/2006/relationships/hyperlink" Target="http://glassportal.no/wp-content/uploads/2017/04/Forbrukerinformasjonbygningsglass.pdf" TargetMode="External"/><Relationship Id="rId10"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image" Target="media/image4.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3525</Characters>
  <Application>Microsoft Office Word</Application>
  <DocSecurity>0</DocSecurity>
  <Lines>29</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Kristin Sæterhaug</dc:creator>
  <cp:keywords/>
  <dc:description/>
  <cp:lastModifiedBy>Gjermund Horten</cp:lastModifiedBy>
  <cp:revision>4</cp:revision>
  <dcterms:created xsi:type="dcterms:W3CDTF">2025-12-12T09:59:00Z</dcterms:created>
  <dcterms:modified xsi:type="dcterms:W3CDTF">2026-04-29T12:30:00Z</dcterms:modified>
</cp:coreProperties>
</file>